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8811" w14:textId="77777777" w:rsidR="00294C74" w:rsidRPr="00294C74" w:rsidRDefault="00294C74" w:rsidP="00294C74">
      <w:pPr>
        <w:rPr>
          <w:sz w:val="28"/>
          <w:szCs w:val="28"/>
        </w:rPr>
      </w:pPr>
      <w:r w:rsidRPr="00294C74">
        <w:rPr>
          <w:b/>
          <w:bCs/>
          <w:sz w:val="28"/>
          <w:szCs w:val="28"/>
        </w:rPr>
        <w:t>EMPIRE OF SHADOWS – FULL SYNOPSIS</w:t>
      </w:r>
    </w:p>
    <w:p w14:paraId="0675BF42" w14:textId="77777777" w:rsidR="00294C74" w:rsidRPr="00294C74" w:rsidRDefault="00294C74" w:rsidP="00294C74">
      <w:pPr>
        <w:rPr>
          <w:b/>
          <w:bCs/>
          <w:sz w:val="28"/>
          <w:szCs w:val="28"/>
        </w:rPr>
      </w:pPr>
      <w:r w:rsidRPr="00294C74">
        <w:rPr>
          <w:b/>
          <w:bCs/>
          <w:i/>
          <w:iCs/>
          <w:sz w:val="28"/>
          <w:szCs w:val="28"/>
        </w:rPr>
        <w:t>By Hugh Brent</w:t>
      </w:r>
    </w:p>
    <w:p w14:paraId="6E36FA9A" w14:textId="77777777" w:rsidR="00294C74" w:rsidRDefault="00294C74" w:rsidP="00294C74">
      <w:pPr>
        <w:jc w:val="both"/>
        <w:rPr>
          <w:sz w:val="28"/>
          <w:szCs w:val="28"/>
        </w:rPr>
      </w:pPr>
      <w:r w:rsidRPr="00294C74">
        <w:rPr>
          <w:i/>
          <w:iCs/>
          <w:sz w:val="28"/>
          <w:szCs w:val="28"/>
        </w:rPr>
        <w:t>Empire of Shadows</w:t>
      </w:r>
      <w:r w:rsidRPr="00294C74">
        <w:rPr>
          <w:sz w:val="28"/>
          <w:szCs w:val="28"/>
        </w:rPr>
        <w:t xml:space="preserve"> is a work of narrative non-fiction that examines the hidden financial architecture underpinning modern global power. It traces the origins, evolution, and institutionalisation of covert financial systems that emerged from the chaos of the Second World War and developed into a permanent, largely unaccountable mechanism of statecraft.</w:t>
      </w:r>
    </w:p>
    <w:p w14:paraId="25AB1759" w14:textId="77777777" w:rsidR="00AB5220" w:rsidRPr="00294C74" w:rsidRDefault="00AB5220" w:rsidP="00294C74">
      <w:pPr>
        <w:jc w:val="both"/>
        <w:rPr>
          <w:sz w:val="28"/>
          <w:szCs w:val="28"/>
        </w:rPr>
      </w:pPr>
    </w:p>
    <w:p w14:paraId="4E38C58E" w14:textId="77777777" w:rsidR="00294C74" w:rsidRDefault="00294C74" w:rsidP="00294C74">
      <w:pPr>
        <w:jc w:val="both"/>
        <w:rPr>
          <w:sz w:val="28"/>
          <w:szCs w:val="28"/>
        </w:rPr>
      </w:pPr>
      <w:r w:rsidRPr="00294C74">
        <w:rPr>
          <w:sz w:val="28"/>
          <w:szCs w:val="28"/>
        </w:rPr>
        <w:t>The narrative begins in the closing stages of the war, with the systematic looting and concealment of vast quantities of gold, currency, and cultural assets across Southeast Asia under the Japanese Golden Lily programme. These operations were conducted with military precision, creating a network of hidden caches buried across the Philippine archipelago and beyond. Many of these sites were engineered to remain undisturbed for decades, protected by traps, sealed chambers, and, in some cases, chemical deterrents. The intention was not simply to hide wealth, but to preserve the financial foundation of a defeated empire for future recovery.</w:t>
      </w:r>
    </w:p>
    <w:p w14:paraId="5E7ABD08" w14:textId="77777777" w:rsidR="00AB5220" w:rsidRPr="00294C74" w:rsidRDefault="00AB5220" w:rsidP="00294C74">
      <w:pPr>
        <w:jc w:val="both"/>
        <w:rPr>
          <w:sz w:val="28"/>
          <w:szCs w:val="28"/>
        </w:rPr>
      </w:pPr>
    </w:p>
    <w:p w14:paraId="72FFA9BB" w14:textId="77777777" w:rsidR="00294C74" w:rsidRDefault="00294C74" w:rsidP="00294C74">
      <w:pPr>
        <w:jc w:val="both"/>
        <w:rPr>
          <w:sz w:val="28"/>
          <w:szCs w:val="28"/>
        </w:rPr>
      </w:pPr>
      <w:r w:rsidRPr="00294C74">
        <w:rPr>
          <w:sz w:val="28"/>
          <w:szCs w:val="28"/>
        </w:rPr>
        <w:t>In the aftermath of Japan’s surrender, elements within American intelligence identified the strategic potential of these hidden reserves. Rather than repatriating the wealth or returning it to its original owners, selected caches were quietly secured and incorporated into a classified financial system. This marked the beginning of a profound shift in the nature of state power. Wealth that existed outside formal accounting systems could now be deployed without legislative approval, public scrutiny, or diplomatic accountability.</w:t>
      </w:r>
    </w:p>
    <w:p w14:paraId="56CA7157" w14:textId="77777777" w:rsidR="00AB5220" w:rsidRPr="00294C74" w:rsidRDefault="00AB5220" w:rsidP="00294C74">
      <w:pPr>
        <w:jc w:val="both"/>
        <w:rPr>
          <w:sz w:val="28"/>
          <w:szCs w:val="28"/>
        </w:rPr>
      </w:pPr>
    </w:p>
    <w:p w14:paraId="551F6045" w14:textId="77777777" w:rsidR="00294C74" w:rsidRDefault="00294C74" w:rsidP="00294C74">
      <w:pPr>
        <w:jc w:val="both"/>
        <w:rPr>
          <w:sz w:val="28"/>
          <w:szCs w:val="28"/>
        </w:rPr>
      </w:pPr>
      <w:r w:rsidRPr="00294C74">
        <w:rPr>
          <w:sz w:val="28"/>
          <w:szCs w:val="28"/>
        </w:rPr>
        <w:t xml:space="preserve">As the Cold War emerged, this covert financial infrastructure became an operational necessity. Western governments, facing the perceived expansion of Soviet influence, required mechanisms to intervene in political and economic affairs without overt involvement. Hidden reserves provided exactly that capability. Funds could be channelled into elections, media </w:t>
      </w:r>
      <w:r w:rsidRPr="00294C74">
        <w:rPr>
          <w:sz w:val="28"/>
          <w:szCs w:val="28"/>
        </w:rPr>
        <w:lastRenderedPageBreak/>
        <w:t>organisations, labour movements, and political parties across Europe and Asia. These interventions were rarely acknowledged, yet they played a significant role in shaping the post-war political landscape.</w:t>
      </w:r>
    </w:p>
    <w:p w14:paraId="338043A2" w14:textId="77777777" w:rsidR="00AB5220" w:rsidRPr="00294C74" w:rsidRDefault="00AB5220" w:rsidP="00294C74">
      <w:pPr>
        <w:jc w:val="both"/>
        <w:rPr>
          <w:sz w:val="28"/>
          <w:szCs w:val="28"/>
        </w:rPr>
      </w:pPr>
    </w:p>
    <w:p w14:paraId="2FBD224A" w14:textId="77777777" w:rsidR="00294C74" w:rsidRDefault="00294C74" w:rsidP="00294C74">
      <w:pPr>
        <w:jc w:val="both"/>
        <w:rPr>
          <w:sz w:val="28"/>
          <w:szCs w:val="28"/>
        </w:rPr>
      </w:pPr>
      <w:r w:rsidRPr="00294C74">
        <w:rPr>
          <w:sz w:val="28"/>
          <w:szCs w:val="28"/>
        </w:rPr>
        <w:t>The book follows the transformation of these early operations into a structured and enduring system. Intelligence agencies, working in conjunction with financial institutions and selected intermediaries, developed methods for moving capital across borders with minimal traceability. Offshore banking centres, discreet corporate entities, and layered financial instruments were employed to obscure origins and ownership. What began as an improvised solution to wartime circumstances evolved into a sophisticated network capable of sustaining long-term covert operations.</w:t>
      </w:r>
    </w:p>
    <w:p w14:paraId="15289A29" w14:textId="77777777" w:rsidR="00AB5220" w:rsidRPr="00294C74" w:rsidRDefault="00AB5220" w:rsidP="00294C74">
      <w:pPr>
        <w:jc w:val="both"/>
        <w:rPr>
          <w:sz w:val="28"/>
          <w:szCs w:val="28"/>
        </w:rPr>
      </w:pPr>
    </w:p>
    <w:p w14:paraId="05D947F4" w14:textId="77777777" w:rsidR="00294C74" w:rsidRDefault="00294C74" w:rsidP="00294C74">
      <w:pPr>
        <w:jc w:val="both"/>
        <w:rPr>
          <w:sz w:val="28"/>
          <w:szCs w:val="28"/>
        </w:rPr>
      </w:pPr>
      <w:r w:rsidRPr="00294C74">
        <w:rPr>
          <w:sz w:val="28"/>
          <w:szCs w:val="28"/>
        </w:rPr>
        <w:t>This system operated alongside, and often in contradiction to, the visible structures of democratic governance. Governments continued to present themselves as accountable to their citizens, while simultaneously relying on mechanisms that functioned beyond oversight. A dual framework emerged: one public and regulated, the other concealed and autonomous. Within this hidden framework, decisions could be made and actions executed without the constraints imposed by law, scrutiny, or political consequence.</w:t>
      </w:r>
    </w:p>
    <w:p w14:paraId="3CACEC9F" w14:textId="77777777" w:rsidR="00AB5220" w:rsidRPr="00294C74" w:rsidRDefault="00AB5220" w:rsidP="00294C74">
      <w:pPr>
        <w:jc w:val="both"/>
        <w:rPr>
          <w:sz w:val="28"/>
          <w:szCs w:val="28"/>
        </w:rPr>
      </w:pPr>
    </w:p>
    <w:p w14:paraId="7BAA11A9" w14:textId="77777777" w:rsidR="00294C74" w:rsidRDefault="00294C74" w:rsidP="00294C74">
      <w:pPr>
        <w:jc w:val="both"/>
        <w:rPr>
          <w:sz w:val="28"/>
          <w:szCs w:val="28"/>
        </w:rPr>
      </w:pPr>
      <w:r w:rsidRPr="00294C74">
        <w:rPr>
          <w:i/>
          <w:iCs/>
          <w:sz w:val="28"/>
          <w:szCs w:val="28"/>
        </w:rPr>
        <w:t>Empire of Shadows</w:t>
      </w:r>
      <w:r w:rsidRPr="00294C74">
        <w:rPr>
          <w:sz w:val="28"/>
          <w:szCs w:val="28"/>
        </w:rPr>
        <w:t xml:space="preserve"> explores how this parallel system extended its reach over time. It examines the relationship between covert finance and the development of intelligence-led operations across NATO-aligned nations, including the use of deniable funding to support clandestine networks, paramilitary groups, and politically sensitive interventions. It considers how private actors, including banks, corporations, and influential individuals, became integrated into this system, offering services and access in exchange for influence and protection.</w:t>
      </w:r>
    </w:p>
    <w:p w14:paraId="47F88F37" w14:textId="77777777" w:rsidR="00AB5220" w:rsidRPr="00294C74" w:rsidRDefault="00AB5220" w:rsidP="00294C74">
      <w:pPr>
        <w:jc w:val="both"/>
        <w:rPr>
          <w:sz w:val="28"/>
          <w:szCs w:val="28"/>
        </w:rPr>
      </w:pPr>
    </w:p>
    <w:p w14:paraId="46747F2C" w14:textId="77777777" w:rsidR="00294C74" w:rsidRDefault="00294C74" w:rsidP="00294C74">
      <w:pPr>
        <w:jc w:val="both"/>
        <w:rPr>
          <w:sz w:val="28"/>
          <w:szCs w:val="28"/>
        </w:rPr>
      </w:pPr>
      <w:r w:rsidRPr="00294C74">
        <w:rPr>
          <w:sz w:val="28"/>
          <w:szCs w:val="28"/>
        </w:rPr>
        <w:lastRenderedPageBreak/>
        <w:t>Central to the book is the question of how hidden wealth alters institutional behaviour. When governments and intelligence agencies gain access to resources that cannot be traced or audited, the incentives that govern decision-making begin to shift. Actions that would be politically or legally impossible within the formal system become viable within the covert one. Over time, this creates a divergence between declared policy and actual practice, with significant implications for accountability and governance.</w:t>
      </w:r>
    </w:p>
    <w:p w14:paraId="4A36F23A" w14:textId="77777777" w:rsidR="00AB5220" w:rsidRPr="00294C74" w:rsidRDefault="00AB5220" w:rsidP="00294C74">
      <w:pPr>
        <w:jc w:val="both"/>
        <w:rPr>
          <w:sz w:val="28"/>
          <w:szCs w:val="28"/>
        </w:rPr>
      </w:pPr>
    </w:p>
    <w:p w14:paraId="7E3FA1B5" w14:textId="77777777" w:rsidR="00294C74" w:rsidRDefault="00294C74" w:rsidP="00294C74">
      <w:pPr>
        <w:jc w:val="both"/>
        <w:rPr>
          <w:sz w:val="28"/>
          <w:szCs w:val="28"/>
        </w:rPr>
      </w:pPr>
      <w:r w:rsidRPr="00294C74">
        <w:rPr>
          <w:sz w:val="28"/>
          <w:szCs w:val="28"/>
        </w:rPr>
        <w:t>The narrative also addresses the long-term consequences of this transformation. What began as a response to wartime necessity did not recede with the stabilisation of the post-war world. Instead, it became embedded within the operational structures of modern states. Covert financial systems proved too useful to abandon. They offered flexibility, speed, and deniability, allowing governments to pursue strategic objectives while maintaining plausible distance from the outcomes.</w:t>
      </w:r>
    </w:p>
    <w:p w14:paraId="0610DA0E" w14:textId="77777777" w:rsidR="00AB5220" w:rsidRPr="00294C74" w:rsidRDefault="00AB5220" w:rsidP="00294C74">
      <w:pPr>
        <w:jc w:val="both"/>
        <w:rPr>
          <w:sz w:val="28"/>
          <w:szCs w:val="28"/>
        </w:rPr>
      </w:pPr>
    </w:p>
    <w:p w14:paraId="6A2B9E14" w14:textId="77777777" w:rsidR="00294C74" w:rsidRDefault="00294C74" w:rsidP="00294C74">
      <w:pPr>
        <w:jc w:val="both"/>
        <w:rPr>
          <w:sz w:val="28"/>
          <w:szCs w:val="28"/>
        </w:rPr>
      </w:pPr>
      <w:r w:rsidRPr="00294C74">
        <w:rPr>
          <w:sz w:val="28"/>
          <w:szCs w:val="28"/>
        </w:rPr>
        <w:t>In the contemporary context, the legacy of these systems remains visible in the continued reliance on opaque financial channels, offshore structures, and intelligence-led funding mechanisms. While the geopolitical landscape has evolved, the underlying architecture persists. The book argues that many of the dynamics shaping modern political and economic decisions cannot be fully understood without recognising the existence and influence of this hidden financial layer.</w:t>
      </w:r>
    </w:p>
    <w:p w14:paraId="7E1133CC" w14:textId="77777777" w:rsidR="00AB5220" w:rsidRPr="00294C74" w:rsidRDefault="00AB5220" w:rsidP="00294C74">
      <w:pPr>
        <w:jc w:val="both"/>
        <w:rPr>
          <w:sz w:val="28"/>
          <w:szCs w:val="28"/>
        </w:rPr>
      </w:pPr>
    </w:p>
    <w:p w14:paraId="265C52E3" w14:textId="77777777" w:rsidR="00294C74" w:rsidRPr="00294C74" w:rsidRDefault="00294C74" w:rsidP="00294C74">
      <w:pPr>
        <w:jc w:val="both"/>
        <w:rPr>
          <w:sz w:val="28"/>
          <w:szCs w:val="28"/>
        </w:rPr>
      </w:pPr>
      <w:r w:rsidRPr="00294C74">
        <w:rPr>
          <w:i/>
          <w:iCs/>
          <w:sz w:val="28"/>
          <w:szCs w:val="28"/>
        </w:rPr>
        <w:t>Empire of Shadows</w:t>
      </w:r>
      <w:r w:rsidRPr="00294C74">
        <w:rPr>
          <w:sz w:val="28"/>
          <w:szCs w:val="28"/>
        </w:rPr>
        <w:t xml:space="preserve"> is not a catalogue of conspiracies, but an examination of structure. It seeks to understand how and why these systems were created, how they have been maintained, and what their existence reveals about the nature of power in the modern world. By tracing the movement of wealth, influence, and authority across decades, the book presents a cohesive account of how covert finance became an integral component of global governance.</w:t>
      </w:r>
    </w:p>
    <w:p w14:paraId="3EE49E57" w14:textId="77777777" w:rsidR="00294C74" w:rsidRPr="00294C74" w:rsidRDefault="00294C74" w:rsidP="00294C74">
      <w:pPr>
        <w:jc w:val="both"/>
        <w:rPr>
          <w:sz w:val="28"/>
          <w:szCs w:val="28"/>
        </w:rPr>
      </w:pPr>
      <w:r w:rsidRPr="00294C74">
        <w:rPr>
          <w:sz w:val="28"/>
          <w:szCs w:val="28"/>
        </w:rPr>
        <w:lastRenderedPageBreak/>
        <w:t xml:space="preserve">Positioned as the first in a two-part series, </w:t>
      </w:r>
      <w:r w:rsidRPr="00294C74">
        <w:rPr>
          <w:i/>
          <w:iCs/>
          <w:sz w:val="28"/>
          <w:szCs w:val="28"/>
        </w:rPr>
        <w:t>Empire of Shadows</w:t>
      </w:r>
      <w:r w:rsidRPr="00294C74">
        <w:rPr>
          <w:sz w:val="28"/>
          <w:szCs w:val="28"/>
        </w:rPr>
        <w:t xml:space="preserve"> combines narrative storytelling with investigative depth. It is written for a commercial audience while maintaining the rigour expected of serious historical and geopolitical non-fiction. It will appeal to readers interested in the intersection of intelligence, finance, and power, offering a perspective that connects historical events to the structures that continue to shape the present day.</w:t>
      </w:r>
    </w:p>
    <w:p w14:paraId="45DCC7C0" w14:textId="77777777" w:rsidR="00AC6D17" w:rsidRPr="00294C74" w:rsidRDefault="00AC6D17" w:rsidP="00294C74">
      <w:pPr>
        <w:jc w:val="both"/>
        <w:rPr>
          <w:sz w:val="28"/>
          <w:szCs w:val="28"/>
        </w:rPr>
      </w:pPr>
    </w:p>
    <w:sectPr w:rsidR="00AC6D17" w:rsidRPr="00294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58"/>
    <w:rsid w:val="001F1906"/>
    <w:rsid w:val="00294C74"/>
    <w:rsid w:val="005728C1"/>
    <w:rsid w:val="00740358"/>
    <w:rsid w:val="00763B36"/>
    <w:rsid w:val="00855866"/>
    <w:rsid w:val="00AB5220"/>
    <w:rsid w:val="00AC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F60C"/>
  <w15:chartTrackingRefBased/>
  <w15:docId w15:val="{CA81136C-23AE-447A-B6D5-842BB696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358"/>
    <w:rPr>
      <w:rFonts w:eastAsiaTheme="majorEastAsia" w:cstheme="majorBidi"/>
      <w:color w:val="272727" w:themeColor="text1" w:themeTint="D8"/>
    </w:rPr>
  </w:style>
  <w:style w:type="paragraph" w:styleId="Title">
    <w:name w:val="Title"/>
    <w:basedOn w:val="Normal"/>
    <w:next w:val="Normal"/>
    <w:link w:val="TitleChar"/>
    <w:uiPriority w:val="10"/>
    <w:qFormat/>
    <w:rsid w:val="00740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358"/>
    <w:pPr>
      <w:spacing w:before="160"/>
      <w:jc w:val="center"/>
    </w:pPr>
    <w:rPr>
      <w:i/>
      <w:iCs/>
      <w:color w:val="404040" w:themeColor="text1" w:themeTint="BF"/>
    </w:rPr>
  </w:style>
  <w:style w:type="character" w:customStyle="1" w:styleId="QuoteChar">
    <w:name w:val="Quote Char"/>
    <w:basedOn w:val="DefaultParagraphFont"/>
    <w:link w:val="Quote"/>
    <w:uiPriority w:val="29"/>
    <w:rsid w:val="00740358"/>
    <w:rPr>
      <w:i/>
      <w:iCs/>
      <w:color w:val="404040" w:themeColor="text1" w:themeTint="BF"/>
    </w:rPr>
  </w:style>
  <w:style w:type="paragraph" w:styleId="ListParagraph">
    <w:name w:val="List Paragraph"/>
    <w:basedOn w:val="Normal"/>
    <w:uiPriority w:val="34"/>
    <w:qFormat/>
    <w:rsid w:val="00740358"/>
    <w:pPr>
      <w:ind w:left="720"/>
      <w:contextualSpacing/>
    </w:pPr>
  </w:style>
  <w:style w:type="character" w:styleId="IntenseEmphasis">
    <w:name w:val="Intense Emphasis"/>
    <w:basedOn w:val="DefaultParagraphFont"/>
    <w:uiPriority w:val="21"/>
    <w:qFormat/>
    <w:rsid w:val="00740358"/>
    <w:rPr>
      <w:i/>
      <w:iCs/>
      <w:color w:val="0F4761" w:themeColor="accent1" w:themeShade="BF"/>
    </w:rPr>
  </w:style>
  <w:style w:type="paragraph" w:styleId="IntenseQuote">
    <w:name w:val="Intense Quote"/>
    <w:basedOn w:val="Normal"/>
    <w:next w:val="Normal"/>
    <w:link w:val="IntenseQuoteChar"/>
    <w:uiPriority w:val="30"/>
    <w:qFormat/>
    <w:rsid w:val="00740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358"/>
    <w:rPr>
      <w:i/>
      <w:iCs/>
      <w:color w:val="0F4761" w:themeColor="accent1" w:themeShade="BF"/>
    </w:rPr>
  </w:style>
  <w:style w:type="character" w:styleId="IntenseReference">
    <w:name w:val="Intense Reference"/>
    <w:basedOn w:val="DefaultParagraphFont"/>
    <w:uiPriority w:val="32"/>
    <w:qFormat/>
    <w:rsid w:val="00740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Mewis</dc:creator>
  <cp:keywords/>
  <dc:description/>
  <cp:lastModifiedBy>Vaughan Mewis</cp:lastModifiedBy>
  <cp:revision>2</cp:revision>
  <dcterms:created xsi:type="dcterms:W3CDTF">2026-03-24T07:23:00Z</dcterms:created>
  <dcterms:modified xsi:type="dcterms:W3CDTF">2026-03-24T07:38:00Z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5e62df76-4db8-4fdf-9456-bca13522c5b9</vt:lpwstr>
  </property>
</Properties>
</file>